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Bdr/>
        <w:spacing w:after="60"/>
        <w:jc w:val="both"/>
        <w:rPr>
          <w:rFonts w:ascii="GE Inspira" w:eastAsia="GE Inspira" w:hAnsi="GE Inspira" w:cs="GE Inspira"/>
        </w:rPr>
      </w:pPr>
      <w:r>
        <w:rPr>
          <w:rFonts w:ascii="GE Inspira" w:eastAsia="GE Inspira" w:hAnsi="GE Inspira" w:cs="GE Inspira"/>
        </w:rPr>
        <w:t xml:space="preserve">Kreativna poslovna rješenja d.o.o. su tvrtka koja se bavi pružanjem usluga Web dizajna, copywritinga, audio produkcije, event managementa, grafičkog dizajna, PR usluga, web shopa, </w:t>
      </w:r>
      <w:r/>
      <w:bookmarkStart w:id="0" w:name="_Hlk2270261"/>
      <w:r>
        <w:rPr>
          <w:rFonts w:ascii="GE Inspira" w:eastAsia="GE Inspira" w:hAnsi="GE Inspira" w:cs="GE Inspira"/>
        </w:rPr>
        <w:t>upravljanje internet portalima, marketing i video produkcije</w:t>
      </w:r>
      <w:bookmarkEnd w:id="0"/>
      <w:r>
        <w:rPr>
          <w:rFonts w:ascii="GE Inspira" w:eastAsia="GE Inspira" w:hAnsi="GE Inspira" w:cs="GE Inspira"/>
        </w:rPr>
        <w:t>.</w:t>
      </w:r>
    </w:p>
    <w:p>
      <w:pPr>
        <w:pBdr/>
        <w:spacing w:after="60"/>
        <w:jc w:val="both"/>
        <w:rPr>
          <w:rFonts w:ascii="GE Inspira" w:eastAsia="GE Inspira" w:hAnsi="GE Inspira" w:cs="GE Inspira"/>
          <w:sz w:val="14"/>
        </w:rPr>
      </w:pPr>
    </w:p>
    <w:p>
      <w:pPr>
        <w:pBdr/>
        <w:spacing w:after="60"/>
        <w:jc w:val="both"/>
        <w:rPr>
          <w:rFonts w:ascii="Calibri" w:eastAsia="Calibri" w:hAnsi="Calibri" w:cs="Calibri"/>
          <w:shd w:fill="FFFF00" w:val="clear" w:color="auto"/>
        </w:rPr>
      </w:pPr>
      <w:r>
        <w:rPr>
          <w:rFonts w:ascii="GE Inspira" w:eastAsia="GE Inspira" w:hAnsi="GE Inspira" w:cs="GE Inspira"/>
          <w:b w:val="true"/>
        </w:rPr>
        <w:t>Vizija:</w:t>
      </w:r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color w:val="000000"/>
          <w:shd w:fill="FFFFFF" w:val="clear" w:color="auto"/>
        </w:rPr>
        <w:t>ostati pouzdan i siguran regionalni lider u pružanju marketinških usluga kroz ponudu kreativnih, strateških i inovativnih rješenja koja pomažu klijentima u postizanju njihovog zacrtanog cilja. Nadalje kreativnim i multimedijskim pristupom osigurati najbolji mogući ishod dogovorenih zadataka.</w:t>
      </w:r>
    </w:p>
    <w:p>
      <w:pPr>
        <w:pBdr/>
        <w:spacing w:after="60"/>
        <w:jc w:val="both"/>
        <w:rPr>
          <w:rFonts w:ascii="GE Inspira" w:eastAsia="GE Inspira" w:hAnsi="GE Inspira" w:cs="GE Inspira"/>
          <w:sz w:val="14"/>
          <w:shd w:fill="FFFF00" w:val="clear" w:color="auto"/>
        </w:rPr>
      </w:pPr>
    </w:p>
    <w:p>
      <w:pPr>
        <w:pBdr/>
        <w:spacing w:after="60"/>
        <w:jc w:val="both"/>
        <w:rPr>
          <w:rFonts w:ascii="Calibri" w:eastAsia="Calibri" w:hAnsi="Calibri" w:cs="Calibri"/>
        </w:rPr>
      </w:pPr>
      <w:r>
        <w:rPr>
          <w:rFonts w:ascii="GE Inspira" w:eastAsia="GE Inspira" w:hAnsi="GE Inspira" w:cs="GE Inspira"/>
          <w:b w:val="true"/>
        </w:rPr>
        <w:t>Misija:</w:t>
      </w:r>
      <w:r>
        <w:rPr>
          <w:rFonts w:ascii="GE Inspira" w:eastAsia="GE Inspira" w:hAnsi="GE Inspira" w:cs="GE Inspira"/>
        </w:rPr>
        <w:t xml:space="preserve"> </w:t>
      </w:r>
      <w:r>
        <w:rPr>
          <w:rFonts w:ascii="Calibri" w:eastAsia="Calibri" w:hAnsi="Calibri" w:cs="Calibri"/>
        </w:rPr>
        <w:t>Podizanjem svijesti o informacijskoj sigurnosti naših zaposlenika i vanjskih suradnika, te praćenje i primjenjivanje novih trendova na aktivne i buduće projekte čuvati integritet informacija te visoku razinu zaštit</w:t>
      </w:r>
      <w:r>
        <w:rPr>
          <w:rFonts w:ascii="Calibri" w:eastAsia="Calibri" w:hAnsi="Calibri" w:cs="Calibri"/>
        </w:rPr>
        <w:t>e osjetljivih podataka.</w:t>
      </w:r>
    </w:p>
    <w:p>
      <w:pPr>
        <w:pBdr/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Informacijska sigurnost je jedan od najvažnijih čimbenika koji utječu na kvalitetu i transparentnost naših usluga. Kroz primjenu sustava upravljanja informacijskom sigurnošću želimo osigurati cjelovitost i integritet svih informacija kojima raspolažemo, te nesmetano odvijanje svih procesa.</w:t>
      </w:r>
    </w:p>
    <w:p>
      <w:pPr>
        <w:pBdr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cilju ispunjavanja potreba i očekivanja zainteresiranih strana definirali smo slijedeća načela naše politike informacijske sigurnosti:</w:t>
      </w:r>
    </w:p>
    <w:tbl>
      <w:tblPr>
        <w:tblStyle w:val="1617713263912"/>
        <w:tblW w:w="9514" w:type="dxa"/>
        <w:jc w:val="center"/>
        <w:tblInd w:w="0" w:type="dxa"/>
        <w:tblBorders>
          <w:top w:color="000000" w:val="single" w:sz="6" w:space="0"/>
          <w:left w:color="000000" w:val="single" w:sz="6" w:space="0"/>
          <w:bottom w:color="000000" w:val="single" w:sz="6" w:space="0"/>
          <w:right w:color="000000" w:val="single" w:sz="6" w:space="0"/>
        </w:tblBorders>
        <w:tblLayout w:type="fixed"/>
        <w:tblLook w:val="0600"/>
      </w:tblPr>
      <w:tblGrid>
        <w:gridCol w:w="2476"/>
        <w:gridCol w:w="7037"/>
      </w:tblGrid>
      <w:tr>
        <w:tc>
          <w:tcPr>
            <w:tcW w:w="247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DEEAF6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60"/>
              <w:rPr>
                <w:rFonts w:ascii="GE Inspira" w:eastAsia="GE Inspira" w:hAnsi="GE Inspira" w:cs="GE Inspira"/>
                <w:b w:val="true"/>
                <w:sz w:val="20"/>
              </w:rPr>
            </w:pPr>
            <w:r>
              <w:rPr>
                <w:rFonts w:ascii="GE Inspira" w:eastAsia="GE Inspira" w:hAnsi="GE Inspira" w:cs="GE Inspira"/>
                <w:b w:val="true"/>
                <w:sz w:val="20"/>
              </w:rPr>
              <w:t>Klijenti i dobavljači</w:t>
            </w:r>
          </w:p>
        </w:tc>
        <w:tc>
          <w:tcPr>
            <w:tcW w:w="703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DEEAF6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 xml:space="preserve">osigurati zaštitu informacijske imovine od svih opasnosti -  internih i eksternih, kao i namjernih i slučajnih 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 xml:space="preserve">kroz upravljanje rizicima kontinuirano smanjivati rizike u području informacijske sigurnosti  i poduzimati kontrolne mjere 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osiguravanje dostupnosti informacija kada ih traže vanjske</w:t>
            </w:r>
            <w:r>
              <w:rPr>
                <w:rFonts w:ascii="GE Inspira" w:eastAsia="GE Inspira" w:hAnsi="GE Inspira" w:cs="GE Inspira"/>
                <w:sz w:val="20"/>
              </w:rPr>
              <w:t xml:space="preserve"> zainteresirane strane u skladu sa Zakonom o pravu na pristup informacijama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osiguravanje povjerljivosti osjetljivih podataka u skladu s zakonskim propisima i dobrom poslovnom praksom</w:t>
            </w:r>
          </w:p>
        </w:tc>
      </w:tr>
      <w:tr>
        <w:tc>
          <w:tcPr>
            <w:tcW w:w="247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9CC2E5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/>
              <w:spacing w:after="60"/>
              <w:jc w:val="both"/>
              <w:rPr>
                <w:rFonts w:ascii="GE Inspira" w:eastAsia="GE Inspira" w:hAnsi="GE Inspira" w:cs="GE Inspira"/>
                <w:b w:val="true"/>
                <w:sz w:val="20"/>
              </w:rPr>
            </w:pPr>
            <w:r>
              <w:rPr>
                <w:rFonts w:ascii="GE Inspira" w:eastAsia="GE Inspira" w:hAnsi="GE Inspira" w:cs="GE Inspira"/>
                <w:b w:val="true"/>
                <w:sz w:val="20"/>
              </w:rPr>
              <w:t>Zaposlenici</w:t>
            </w:r>
          </w:p>
        </w:tc>
        <w:tc>
          <w:tcPr>
            <w:tcW w:w="703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9CC2E5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stalno osposobljavanje djelatnika vezano na pravila primjene informacijske sigurnosti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zaštita osobnih informacija</w:t>
            </w:r>
          </w:p>
        </w:tc>
      </w:tr>
      <w:tr>
        <w:tc>
          <w:tcPr>
            <w:tcW w:w="247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AEAAAA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/>
              <w:spacing w:after="60"/>
              <w:jc w:val="both"/>
              <w:rPr>
                <w:rFonts w:ascii="GE Inspira" w:eastAsia="GE Inspira" w:hAnsi="GE Inspira" w:cs="GE Inspira"/>
                <w:b w:val="true"/>
                <w:sz w:val="20"/>
              </w:rPr>
            </w:pPr>
            <w:r>
              <w:rPr>
                <w:rFonts w:ascii="GE Inspira" w:eastAsia="GE Inspira" w:hAnsi="GE Inspira" w:cs="GE Inspira"/>
                <w:b w:val="true"/>
                <w:sz w:val="20"/>
              </w:rPr>
              <w:t>Tijela državne uprave</w:t>
            </w:r>
          </w:p>
        </w:tc>
        <w:tc>
          <w:tcPr>
            <w:tcW w:w="703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AEAAAA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 xml:space="preserve">osiguranje usklađenosti sa zakonskim propisima i ostalim zahtjevima u području informacijske sigurnosti 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osiguravanje kontinuiteta poslovanja kod pojave neželjenih događaja u skladu sa planom Održivosti poslovanja</w:t>
            </w:r>
          </w:p>
        </w:tc>
      </w:tr>
      <w:tr>
        <w:tc>
          <w:tcPr>
            <w:tcW w:w="2476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BFBFBF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/>
              <w:spacing w:after="60"/>
              <w:jc w:val="both"/>
              <w:rPr>
                <w:rFonts w:ascii="GE Inspira" w:eastAsia="GE Inspira" w:hAnsi="GE Inspira" w:cs="GE Inspira"/>
                <w:b w:val="true"/>
                <w:sz w:val="20"/>
              </w:rPr>
            </w:pPr>
            <w:r>
              <w:rPr>
                <w:rFonts w:ascii="GE Inspira" w:eastAsia="GE Inspira" w:hAnsi="GE Inspira" w:cs="GE Inspira"/>
                <w:b w:val="true"/>
                <w:sz w:val="20"/>
              </w:rPr>
              <w:t>Vodstvo - Uprava</w:t>
            </w:r>
          </w:p>
        </w:tc>
        <w:tc>
          <w:tcPr>
            <w:tcW w:w="7037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shd w:fill="BFBFBF" w:val="clear" w:color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svi incidenti vezani na sigurnost informacija će biti prijavljeni odgovornim osobama te će se poduzeti odgovarajuće korektivne radnje</w:t>
            </w:r>
          </w:p>
          <w:p>
            <w:pPr>
              <w:numPr>
                <w:ilvl w:val="0"/>
                <w:numId w:val="2"/>
              </w:numPr>
              <w:pBdr/>
              <w:spacing w:line="240" w:lineRule="auto" w:after="60"/>
              <w:ind w:hanging="360" w:left="720"/>
              <w:jc w:val="both"/>
              <w:rPr>
                <w:rFonts w:ascii="GE Inspira" w:eastAsia="GE Inspira" w:hAnsi="GE Inspira" w:cs="GE Inspira"/>
                <w:sz w:val="20"/>
              </w:rPr>
            </w:pPr>
            <w:r>
              <w:rPr>
                <w:rFonts w:ascii="GE Inspira" w:eastAsia="GE Inspira" w:hAnsi="GE Inspira" w:cs="GE Inspira"/>
                <w:sz w:val="20"/>
              </w:rPr>
              <w:t>stalno unaprjeđivanje i održavanje  sustava upravljanja informacijskom sigurnošću u skladu sa zahtjevima norme ISO 27001</w:t>
            </w:r>
            <w:r>
              <w:rPr>
                <w:rFonts w:ascii="GE Inspira" w:eastAsia="GE Inspira" w:hAnsi="GE Inspira" w:cs="GE Inspira"/>
                <w:sz w:val="20"/>
              </w:rPr>
              <w:t>:2013</w:t>
            </w:r>
          </w:p>
        </w:tc>
      </w:tr>
    </w:tbl>
    <w:p>
      <w:pPr/>
    </w:p>
    <w:tbl>
      <w:tblPr>
        <w:tblStyle w:val="1617713263914"/>
        <w:tblW w:w="9286" w:type="dxa"/>
        <w:jc w:val="center"/>
        <w:tblInd w:w="0" w:type="dxa"/>
        <w:tblLayout w:type="fixed"/>
        <w:tblLook w:val="0600"/>
      </w:tblPr>
      <w:tblGrid>
        <w:gridCol w:w="5328"/>
        <w:gridCol w:w="3958"/>
      </w:tblGrid>
      <w:tr>
        <w:trPr>
          <w:trHeight w:val="240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>U Zagrebu, 01.04.2021.</w:t>
            </w:r>
          </w:p>
        </w:tc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>Igor Mlinarić</w:t>
            </w:r>
          </w:p>
        </w:tc>
      </w:tr>
      <w:tr>
        <w:trPr>
          <w:trHeight w:val="355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</w:p>
        </w:tc>
        <w:tc>
          <w:tcPr>
            <w:tcW w:w="3958" w:type="dxa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>Direktor</w:t>
            </w:r>
          </w:p>
        </w:tc>
      </w:tr>
    </w:tbl>
    <w:p>
      <w:pPr/>
    </w:p>
    <w:sectPr>
      <w:headerReference r:id="rId5" w:type="default"/>
      <w:footerReference r:id="rId6" w:type="default"/>
      <w:headerReference r:id="rId7" w:type="first"/>
      <w:footerReference r:id="rId8" w:type="first"/>
      <w:type w:val="nextPage"/>
      <w:pgSz w:orient="portrait" w:w="11908" w:h="16833"/>
      <w:pgMar w:right="623" w:top="1559" w:header="708" w:bottom="1304" w:footer="708" w:left="1133"/>
      <w:cols w:equalWidth="on" w:space="720" w:num="1"/>
      <w:titlePg w:val="1"/>
    </w:sectPr>
  </w:body>
</w:document>
</file>

<file path=word/footer1.xml><?xml version="1.0" encoding="utf-8"?>
<w:ftr xmlns:w="http://schemas.openxmlformats.org/wordprocessingml/2006/main">
  <w:p>
    <w:pPr>
      <w:pStyle w:val="Footer"/>
      <w:pBdr/>
      <w:spacing w:after="0"/>
      <w:jc w:val="center"/>
      <w:rPr>
        <w:sz w:val="16"/>
      </w:rPr>
    </w:pPr>
  </w:p>
</w:ftr>
</file>

<file path=word/footer2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>
  <w:p>
    <w:pPr>
      <w:pStyle w:val="Header"/>
    </w:pPr>
  </w:p>
  <w:tbl>
    <w:tblPr>
      <w:tblStyle w:val="1617713263919"/>
      <w:tblW w:w="10173" w:type="dxa"/>
      <w:tblInd w:w="0" w:type="dxa"/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</w:tblBorders>
      <w:tblLayout w:type="fixed"/>
      <w:tblLook w:val="0600"/>
    </w:tblPr>
    <w:tblGrid>
      <w:gridCol w:w="1526"/>
      <w:gridCol w:w="6945"/>
      <w:gridCol w:w="1702"/>
    </w:tblGrid>
    <w:tr>
      <w:trPr>
        <w:trHeight w:val="416"/>
      </w:trPr>
      <w:tc>
        <w:tcPr>
          <w:tcW w:w="1526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NoSpacing"/>
            <w:pBdr/>
            <w:jc w:val="center"/>
          </w:pPr>
          <w:r>
            <w:drawing>
              <wp:inline distT="0" distR="0" distB="0" distL="0">
                <wp:extent cx="483231" cy="483231"/>
                <wp:docPr id="0" name="Drawing 0" descr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"/>
                        <pic:cNvPicPr>
                          <a:picLocks noChangeAspect="true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1" cy="483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</w:pPr>
          <w:r>
            <w:rPr/>
            <w:t>PLAN KONTINUITETA POSLOVANJA</w:t>
          </w:r>
        </w:p>
      </w:tc>
      <w:tc>
        <w:tcPr>
          <w:tcW w:w="1702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  <w:rPr>
              <w:sz w:val="18"/>
            </w:rPr>
          </w:pPr>
          <w:r>
            <w:rPr>
              <w:sz w:val="18"/>
            </w:rPr>
            <w:t>ISMS-01/0</w:t>
          </w:r>
        </w:p>
      </w:tc>
    </w:tr>
    <w:tr>
      <w:trPr>
        <w:trHeight w:val="0"/>
      </w:trPr>
      <w:tc>
        <w:tcPr>
          <w:vMerge w:val="continue"/>
          <w:vAlign w:val="top"/>
        </w:tcPr>
        <w:p>
          <w:pPr/>
        </w:p>
      </w:tc>
      <w:tc>
        <w:tcPr>
          <w:vMerge w:val="continue"/>
          <w:vAlign w:val="top"/>
        </w:tcPr>
        <w:p>
          <w:pPr/>
        </w:p>
      </w:tc>
      <w:tc>
        <w:tcPr>
          <w:tcW w:w="1702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</w:pPr>
          <w:r>
            <w:rPr>
              <w:sz w:val="18"/>
            </w:rPr>
            <w:t xml:space="preserve">Stranica: </w:t>
          </w:r>
          <w:r>
            <w:rPr>
              <w:sz w:val="18"/>
            </w:rPr>
            <w:fldChar w:fldCharType="begin"/>
            <w:instrText>PAGE \* MERGEFORMAT</w:instrText>
            <w:fldChar w:fldCharType="separate"/>
            <w:t>1</w:t>
            <w:fldChar w:fldCharType="end"/>
          </w:r>
          <w:r>
            <w:rPr/>
            <w:t xml:space="preserve"> / </w:t>
          </w:r>
          <w:r>
            <w:rPr>
              <w:sz w:val="18"/>
            </w:rPr>
            <w:fldChar w:fldCharType="begin"/>
            <w:instrText>NUMPAGES \* MERGEFORMAT</w:instrText>
            <w:fldChar w:fldCharType="separate"/>
            <w:t>1</w:t>
            <w:fldChar w:fldCharType="end"/>
          </w:r>
        </w:p>
      </w:tc>
    </w:tr>
  </w:tbl>
  <w:p>
    <w:pPr>
      <w:pStyle w:val="header"/>
      <w:spacing w:after="0"/>
      <w:rPr>
        <w:sz w:val="20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>
  <w:p>
    <w:pPr>
      <w:pStyle w:val="Header"/>
    </w:pPr>
  </w:p>
  <w:tbl>
    <w:tblPr>
      <w:tblStyle w:val="1617713263923"/>
      <w:tblW w:w="10031" w:type="dxa"/>
      <w:tblInd w:w="0" w:type="dxa"/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</w:tblBorders>
      <w:tblLayout w:type="fixed"/>
      <w:tblLook w:val="0600"/>
    </w:tblPr>
    <w:tblGrid>
      <w:gridCol w:w="1905"/>
      <w:gridCol w:w="1736"/>
      <w:gridCol w:w="1650"/>
      <w:gridCol w:w="2329"/>
      <w:gridCol w:w="1133"/>
      <w:gridCol w:w="1275"/>
    </w:tblGrid>
    <w:tr>
      <w:trPr>
        <w:trHeight w:val="983"/>
      </w:trPr>
      <w:tc>
        <w:tcPr>
          <w:tcW w:w="1905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header"/>
            <w:pBdr/>
            <w:jc w:val="center"/>
          </w:pPr>
          <w:r>
            <w:drawing>
              <wp:inline distT="0" distR="0" distB="0" distL="0">
                <wp:extent cx="937260" cy="937260"/>
                <wp:docPr id="1" name="Drawing 1" descr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>
                          <a:picLocks noChangeAspect="true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5" w:type="dxa"/>
          <w:gridSpan w:val="5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</w:pPr>
          <w:r>
            <w:rPr/>
            <w:t>Naziv:</w:t>
          </w:r>
        </w:p>
        <w:p>
          <w:pPr>
            <w:pStyle w:val="header"/>
            <w:rPr>
              <w:b w:val="true"/>
              <w:sz w:val="24"/>
            </w:rPr>
          </w:pPr>
          <w:r>
            <w:rPr>
              <w:b w:val="true"/>
              <w:sz w:val="24"/>
            </w:rPr>
            <w:t>POLITIKA INFORMACIJSKE SIGURNOSTI</w:t>
          </w:r>
        </w:p>
      </w:tc>
    </w:tr>
    <w:tr>
      <w:trPr>
        <w:trHeight w:val="227"/>
      </w:trPr>
      <w:tc>
        <w:tcPr>
          <w:vMerge w:val="continue"/>
          <w:vAlign w:val="top"/>
        </w:tcPr>
        <w:p>
          <w:pPr/>
        </w:p>
      </w:tc>
      <w:tc>
        <w:tcPr>
          <w:tcW w:w="1736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 xml:space="preserve">ISO </w:t>
          </w:r>
        </w:p>
        <w:p>
          <w:pPr>
            <w:pStyle w:val="header"/>
            <w:pBdr/>
            <w:jc w:val="center"/>
          </w:pPr>
          <w:r>
            <w:rPr/>
            <w:t>27001:2013</w:t>
          </w:r>
        </w:p>
      </w:tc>
      <w:tc>
        <w:tcPr>
          <w:tcW w:w="1650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Oznaka:</w:t>
          </w:r>
        </w:p>
        <w:p>
          <w:pPr>
            <w:pStyle w:val="header"/>
            <w:pBdr/>
            <w:jc w:val="center"/>
          </w:pPr>
          <w:r>
            <w:rPr/>
            <w:t>ISMS-01/0</w:t>
          </w:r>
        </w:p>
      </w:tc>
      <w:tc>
        <w:tcPr>
          <w:tcW w:w="2329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Datum:</w:t>
          </w:r>
        </w:p>
        <w:p>
          <w:pPr>
            <w:pStyle w:val="header"/>
            <w:pBdr/>
            <w:jc w:val="center"/>
          </w:pPr>
          <w:r>
            <w:rPr/>
            <w:t>01.04.2021.</w:t>
          </w:r>
        </w:p>
      </w:tc>
      <w:tc>
        <w:tcPr>
          <w:tcW w:w="1133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Izmjena:</w:t>
          </w:r>
        </w:p>
        <w:p>
          <w:pPr>
            <w:pStyle w:val="header"/>
            <w:pBdr/>
            <w:jc w:val="center"/>
          </w:pPr>
          <w:r>
            <w:rPr/>
            <w:t>0</w:t>
          </w:r>
        </w:p>
      </w:tc>
      <w:tc>
        <w:tcPr>
          <w:tcW w:w="1275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Stranica:</w:t>
          </w:r>
        </w:p>
        <w:p>
          <w:pPr>
            <w:pStyle w:val="header"/>
            <w:pBdr/>
            <w:jc w:val="center"/>
            <w:rPr>
              <w:sz w:val="18"/>
            </w:rPr>
          </w:pPr>
          <w:r>
            <w:rPr>
              <w:sz w:val="18"/>
            </w:rPr>
            <w:fldChar w:fldCharType="begin"/>
            <w:instrText>PAGE \* MERGEFORMAT</w:instrText>
            <w:fldChar w:fldCharType="separate"/>
            <w:t>1</w:t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  <w:instrText>NUMPAGES \* MERGEFORMAT</w:instrText>
            <w:fldChar w:fldCharType="separate"/>
            <w:t>1</w:t>
            <w:fldChar w:fldCharType="end"/>
          </w:r>
        </w:p>
      </w:tc>
    </w:tr>
  </w:tbl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  <w:lvl w:ilvl="1">
      <w:start w:val="1"/>
      <w:numFmt w:val="decimal"/>
      <w:lvlText w:val="%1.%2."/>
      <w:lvlJc w:val="left"/>
      <w:pPr>
        <w:ind w:left="1440" w:hanging="360"/>
      </w:pPr>
      <w:rPr/>
    </w:lvl>
    <w:lvl w:ilvl="0">
      <w:start w:val="1"/>
      <w:numFmt w:val="decimal"/>
      <w:lvlText w:val="%1."/>
      <w:lvlJc w:val="left"/>
      <w:pPr>
        <w:ind w:left="72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</w:abstractNum>
  <w:abstractNum w:abstractNumId="1"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0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</w:rPr>
    </w:rPrDefault>
    <w:pPrDefault>
      <w:pPr>
        <w:spacing w:line="276" w:lineRule="auto" w:after="200"/>
      </w:pPr>
    </w:pPrDefault>
  </w:docDefaults>
  <w:style w:type="paragraph" w:styleId="annotationtext">
    <w:name w:val="annotation text"/>
    <w:basedOn w:val="Normal"/>
    <w:next w:val="annotationtext"/>
    <w:uiPriority w:val="1"/>
    <w:unhideWhenUsed/>
    <w:qFormat/>
    <w:pPr/>
    <w:rPr>
      <w:sz w:val="20"/>
    </w:rPr>
  </w:style>
  <w:style w:type="paragraph" w:styleId="Normal">
    <w:name w:val="Normal"/>
    <w:next w:val="Normal"/>
    <w:uiPriority w:val="1"/>
    <w:unhideWhenUsed/>
    <w:qFormat/>
    <w:pPr>
      <w:spacing w:line="276" w:lineRule="auto" w:after="20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1"/>
    <w:basedOn w:val="Normal"/>
    <w:next w:val="Normal"/>
    <w:uiPriority w:val="1"/>
    <w:unhideWhenUsed/>
    <w:qFormat/>
    <w:pPr>
      <w:numPr>
        <w:ilvl w:val="0"/>
        <w:numId w:val="1"/>
      </w:numPr>
      <w:ind w:hanging="357" w:left="640"/>
    </w:pPr>
    <w:rPr>
      <w:b w:val="true"/>
      <w:sz w:val="28"/>
    </w:rPr>
  </w:style>
  <w:style w:type="paragraph" w:styleId="Heading2">
    <w:name w:val="Heading2"/>
    <w:basedOn w:val="Normal"/>
    <w:next w:val="Normal"/>
    <w:uiPriority w:val="1"/>
    <w:unhideWhenUsed/>
    <w:qFormat/>
    <w:pPr>
      <w:numPr>
        <w:ilvl w:val="1"/>
        <w:numId w:val="1"/>
      </w:numPr>
      <w:ind w:hanging="357" w:left="924"/>
    </w:pPr>
    <w:rPr>
      <w:b w:val="true"/>
      <w:sz w:val="24"/>
    </w:rPr>
  </w:style>
  <w:style w:type="paragraph" w:styleId="Heading3">
    <w:name w:val="Heading3"/>
    <w:basedOn w:val="Normal"/>
    <w:next w:val="Normal"/>
    <w:uiPriority w:val="1"/>
    <w:unhideWhenUsed/>
    <w:qFormat/>
    <w:pPr>
      <w:numPr>
        <w:ilvl w:val="2"/>
        <w:numId w:val="1"/>
      </w:numPr>
      <w:ind w:hanging="720" w:left="720"/>
    </w:pPr>
    <w:rPr>
      <w:b w:val="true"/>
      <w:i w:val="true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DE2"/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143B7F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toc3">
    <w:name w:val="toc 3"/>
    <w:basedOn w:val="Normal"/>
    <w:next w:val="Normal"/>
    <w:uiPriority w:val="1"/>
    <w:unhideWhenUsed/>
    <w:qFormat/>
    <w:pPr>
      <w:spacing w:after="0"/>
      <w:ind w:left="440"/>
    </w:pPr>
    <w:rPr>
      <w:i w:val="true"/>
      <w:sz w:val="20"/>
    </w:rPr>
  </w:style>
  <w:style w:type="paragraph" w:styleId="toc6">
    <w:name w:val="toc 6"/>
    <w:basedOn w:val="Normal"/>
    <w:next w:val="Normal"/>
    <w:uiPriority w:val="1"/>
    <w:unhideWhenUsed/>
    <w:qFormat/>
    <w:pPr>
      <w:spacing w:after="0"/>
      <w:ind w:left="1100"/>
    </w:pPr>
    <w:rPr>
      <w:sz w:val="18"/>
    </w:rPr>
  </w:style>
  <w:style w:type="paragraph" w:styleId="toc5">
    <w:name w:val="toc 5"/>
    <w:basedOn w:val="Normal"/>
    <w:next w:val="Normal"/>
    <w:uiPriority w:val="1"/>
    <w:unhideWhenUsed/>
    <w:qFormat/>
    <w:pPr>
      <w:spacing w:after="0"/>
      <w:ind w:left="879"/>
    </w:pPr>
    <w:rPr>
      <w:sz w:val="18"/>
    </w:rPr>
  </w:style>
  <w:style w:type="paragraph" w:styleId="toc9">
    <w:name w:val="toc 9"/>
    <w:basedOn w:val="Normal"/>
    <w:next w:val="Normal"/>
    <w:uiPriority w:val="1"/>
    <w:unhideWhenUsed/>
    <w:qFormat/>
    <w:pPr>
      <w:spacing w:after="0"/>
      <w:ind w:left="1759"/>
    </w:pPr>
    <w:rPr>
      <w:sz w:val="18"/>
    </w:rPr>
  </w:style>
  <w:style w:type="paragraph" w:styleId="toc7">
    <w:name w:val="toc 7"/>
    <w:basedOn w:val="Normal"/>
    <w:next w:val="Normal"/>
    <w:uiPriority w:val="1"/>
    <w:unhideWhenUsed/>
    <w:qFormat/>
    <w:pPr>
      <w:spacing w:after="0"/>
      <w:ind w:left="1320"/>
    </w:pPr>
    <w:rPr>
      <w:sz w:val="18"/>
    </w:rPr>
  </w:style>
  <w:style w:type="paragraph" w:styleId="toc4">
    <w:name w:val="toc 4"/>
    <w:basedOn w:val="Normal"/>
    <w:next w:val="Normal"/>
    <w:uiPriority w:val="1"/>
    <w:unhideWhenUsed/>
    <w:qFormat/>
    <w:pPr>
      <w:spacing w:after="0"/>
      <w:ind w:left="659"/>
    </w:pPr>
    <w:rPr>
      <w:sz w:val="18"/>
    </w:rPr>
  </w:style>
  <w:style w:type="paragraph" w:styleId="toc8">
    <w:name w:val="toc 8"/>
    <w:basedOn w:val="Normal"/>
    <w:next w:val="Normal"/>
    <w:uiPriority w:val="1"/>
    <w:unhideWhenUsed/>
    <w:qFormat/>
    <w:pPr>
      <w:spacing w:after="0"/>
      <w:ind w:left="1539"/>
    </w:pPr>
    <w:rPr>
      <w:sz w:val="18"/>
    </w:rPr>
  </w:style>
  <w:style w:type="paragraph" w:styleId="BalloonText">
    <w:name w:val="Balloon Text"/>
    <w:basedOn w:val="Normal"/>
    <w:next w:val="BalloonText"/>
    <w:uiPriority w:val="1"/>
    <w:unhideWhenUsed/>
    <w:qFormat/>
    <w:pPr>
      <w:spacing w:line="240" w:lineRule="auto" w:after="0"/>
    </w:pPr>
    <w:rPr>
      <w:rFonts w:ascii="Tahoma" w:eastAsia="Tahoma" w:hAnsi="Tahoma" w:cs="Tahoma"/>
      <w:sz w:val="16"/>
    </w:rPr>
  </w:style>
  <w:style w:type="paragraph" w:styleId="toc2">
    <w:name w:val="toc 2"/>
    <w:basedOn w:val="Normal"/>
    <w:next w:val="Normal"/>
    <w:uiPriority w:val="1"/>
    <w:unhideWhenUsed/>
    <w:qFormat/>
    <w:pPr>
      <w:spacing w:after="0"/>
      <w:ind w:left="220"/>
    </w:pPr>
    <w:rPr>
      <w:smallCaps w:val="true"/>
      <w:sz w:val="20"/>
    </w:rPr>
  </w:style>
  <w:style w:type="paragraph" w:styleId="footer">
    <w:name w:val="footer"/>
    <w:basedOn w:val="Normal"/>
    <w:next w:val="footer"/>
    <w:uiPriority w:val="1"/>
    <w:unhideWhenUsed/>
    <w:qFormat/>
    <w:pPr>
      <w:tabs>
        <w:tab w:pos="4536" w:val="center" w:leader="none"/>
        <w:tab w:pos="9072" w:val="right" w:leader="none"/>
      </w:tabs>
    </w:pPr>
    <w:rPr/>
  </w:style>
  <w:style w:type="paragraph" w:styleId="annotationsubject">
    <w:name w:val="annotation subject"/>
    <w:basedOn w:val="annotationtext"/>
    <w:next w:val="annotationtext"/>
    <w:uiPriority w:val="1"/>
    <w:unhideWhenUsed/>
    <w:qFormat/>
    <w:pPr/>
    <w:rPr>
      <w:b w:val="true"/>
    </w:rPr>
  </w:style>
  <w:style w:type="paragraph" w:styleId="toc1">
    <w:name w:val="toc 1"/>
    <w:basedOn w:val="Normal"/>
    <w:next w:val="Normal"/>
    <w:uiPriority w:val="1"/>
    <w:unhideWhenUsed/>
    <w:qFormat/>
    <w:pPr>
      <w:tabs>
        <w:tab w:pos="440" w:val="left" w:leader="none"/>
        <w:tab w:pos="9061" w:val="right" w:leader="dot"/>
      </w:tabs>
      <w:spacing w:after="120" w:before="120"/>
    </w:pPr>
    <w:rPr>
      <w:b w:val="true"/>
      <w:caps w:val="true"/>
      <w:sz w:val="20"/>
    </w:rPr>
  </w:style>
  <w:style w:type="paragraph" w:styleId="header">
    <w:name w:val="header"/>
    <w:basedOn w:val="Normal"/>
    <w:next w:val="header"/>
    <w:uiPriority w:val="1"/>
    <w:unhideWhenUsed/>
    <w:qFormat/>
    <w:pPr>
      <w:tabs>
        <w:tab w:pos="4536" w:val="center" w:leader="none"/>
        <w:tab w:pos="9072" w:val="right" w:leader="none"/>
      </w:tabs>
    </w:pPr>
    <w:rPr/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47DE2"/>
      <w:sz w:val="24"/>
    </w:rPr>
  </w:style>
  <w:style w:type="paragraph" w:styleId="Revision">
    <w:name w:val="Revision"/>
    <w:next w:val="Revision"/>
    <w:uiPriority w:val="1"/>
    <w:unhideWhenUsed/>
    <w:qFormat/>
    <w:pPr/>
    <w:rPr>
      <w:rFonts w:ascii="Times New Roman" w:eastAsia="Times New Roman" w:hAnsi="Times New Roman" w:cs="Times New Roman"/>
      <w:sz w:val="22"/>
    </w:rPr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ListParagraph">
    <w:name w:val="ListParagraph"/>
    <w:basedOn w:val="Normal"/>
    <w:next w:val="ListParagraph"/>
    <w:uiPriority w:val="1"/>
    <w:unhideWhenUsed/>
    <w:qFormat/>
    <w:pPr>
      <w:ind w:left="720"/>
    </w:pPr>
    <w:rPr/>
  </w:style>
  <w:style w:type="paragraph" w:styleId="NoSpacing">
    <w:name w:val="NoSpacing"/>
    <w:next w:val="NoSpacing"/>
    <w:uiPriority w:val="1"/>
    <w:unhideWhenUsed/>
    <w:qFormat/>
    <w:pPr/>
    <w:rPr>
      <w:rFonts w:ascii="Times New Roman" w:eastAsia="Times New Roman" w:hAnsi="Times New Roman" w:cs="Times New Roman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447DE2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F6C300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7FC65D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888BA3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F47E2F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46ABC6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F6C300"/>
      <w:spacing w:val="10"/>
    </w:rPr>
  </w:style>
  <w:style w:type="table" w:customStyle="1" w:styleId="1617713263912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  <w:style w:type="table" w:customStyle="1" w:styleId="1617713263914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  <w:style w:type="table" w:customStyle="1" w:styleId="1617713263919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  <w:style w:type="table" w:customStyle="1" w:styleId="1617713263923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header" Target="header2.xml"/><Relationship Id="rId2" Type="http://schemas.openxmlformats.org/officeDocument/2006/relationships/theme" Target="theme/theme1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customXml" Target="../customXml/item1.xml"/></Relationships>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1617713263895">
  <a:themeElements>
    <a:clrScheme name="Default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A46B50DDD354EAEEA0D8854C43068" ma:contentTypeVersion="16" ma:contentTypeDescription="Create a new document." ma:contentTypeScope="" ma:versionID="a6e6340546171a8d8a3432b645c3ce02">
  <xsd:schema xmlns:xsd="http://www.w3.org/2001/XMLSchema" xmlns:xs="http://www.w3.org/2001/XMLSchema" xmlns:p="http://schemas.microsoft.com/office/2006/metadata/properties" xmlns:ns2="2ee33369-a998-479a-a7bf-ef7cdce06d9d" xmlns:ns3="fd7d7807-7258-4f46-85cb-896f1dc58450" targetNamespace="http://schemas.microsoft.com/office/2006/metadata/properties" ma:root="true" ma:fieldsID="0f00fabdcbbf8c632e35d32e49d40682" ns2:_="" ns3:_="">
    <xsd:import namespace="2ee33369-a998-479a-a7bf-ef7cdce06d9d"/>
    <xsd:import namespace="fd7d7807-7258-4f46-85cb-896f1dc58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3369-a998-479a-a7bf-ef7cdce06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748917-6d4c-44fb-833c-3e1735039fca}" ma:internalName="TaxCatchAll" ma:showField="CatchAllData" ma:web="2ee33369-a998-479a-a7bf-ef7cdce06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7807-7258-4f46-85cb-896f1dc58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21e921-2959-4273-8e9f-428a9ad35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88053-DCC6-474C-9F84-2BA84277ACAF}"/>
</file>

<file path=customXml/itemProps2.xml><?xml version="1.0" encoding="utf-8"?>
<ds:datastoreItem xmlns:ds="http://schemas.openxmlformats.org/officeDocument/2006/customXml" ds:itemID="{7002DDD7-6562-4E2B-B45B-59B6C67A3330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2021-04-06T12:47:43Z</dcterms:created>
  <dc:creator>Marinela Golubić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